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广州期货交易所</w:t>
      </w:r>
      <w:r>
        <w:rPr>
          <w:rFonts w:hint="eastAsia" w:ascii="方正小标宋简体" w:hAnsi="方正小标宋简体" w:eastAsia="方正小标宋简体" w:cs="方正小标宋简体"/>
          <w:b w:val="0"/>
          <w:bCs w:val="0"/>
          <w:sz w:val="44"/>
          <w:szCs w:val="44"/>
        </w:rPr>
        <w:t>组合</w:t>
      </w:r>
      <w:r>
        <w:rPr>
          <w:rFonts w:hint="eastAsia" w:ascii="方正小标宋简体" w:hAnsi="方正小标宋简体" w:eastAsia="方正小标宋简体" w:cs="方正小标宋简体"/>
          <w:b w:val="0"/>
          <w:bCs w:val="0"/>
          <w:sz w:val="44"/>
          <w:szCs w:val="44"/>
          <w:lang w:val="en-US" w:eastAsia="zh-CN"/>
        </w:rPr>
        <w:t>持仓</w:t>
      </w:r>
      <w:r>
        <w:rPr>
          <w:rFonts w:hint="eastAsia" w:ascii="方正小标宋简体" w:hAnsi="方正小标宋简体" w:eastAsia="方正小标宋简体" w:cs="方正小标宋简体"/>
          <w:b w:val="0"/>
          <w:bCs w:val="0"/>
          <w:sz w:val="44"/>
          <w:szCs w:val="44"/>
        </w:rPr>
        <w:t>保证金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业务</w:t>
      </w:r>
      <w:r>
        <w:rPr>
          <w:rFonts w:hint="eastAsia" w:ascii="方正小标宋简体" w:hAnsi="方正小标宋简体" w:eastAsia="方正小标宋简体" w:cs="方正小标宋简体"/>
          <w:b w:val="0"/>
          <w:bCs w:val="0"/>
          <w:sz w:val="44"/>
          <w:szCs w:val="44"/>
          <w:lang w:val="en-US" w:eastAsia="zh-CN"/>
        </w:rPr>
        <w:t>指南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为便利会员、客户开展组合持仓保证金业务，根据《广州期货交易所结算管理办法》等相关规定，制定本业务指南。</w:t>
      </w:r>
    </w:p>
    <w:p>
      <w:pPr>
        <w:keepNext w:val="0"/>
        <w:keepLines w:val="0"/>
        <w:pageBreakBefore w:val="0"/>
        <w:numPr>
          <w:ilvl w:val="0"/>
          <w:numId w:val="1"/>
        </w:numPr>
        <w:kinsoku/>
        <w:wordWrap/>
        <w:overflowPunct/>
        <w:topLinePunct w:val="0"/>
        <w:autoSpaceDE/>
        <w:autoSpaceDN/>
        <w:bidi w:val="0"/>
        <w:adjustRightInd/>
        <w:snapToGrid/>
        <w:spacing w:line="560" w:lineRule="exact"/>
        <w:ind w:left="-250" w:leftChars="0" w:firstLine="880" w:firstLine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组合策略的类型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广州期货交易所可以支持以下组合策略：</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期货对锁组合：同一期货品种同一月份合约数量相等、方向相反的持仓头寸；</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期货跨期组合：同一期货品种不同月份合约数量相等、方向相反的持仓头寸；</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期货跨品种组合：不同期货品种合约数量相等、方向相反的持仓头寸；</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卖出期权</w:t>
      </w:r>
      <w:r>
        <w:rPr>
          <w:rFonts w:hint="eastAsia" w:ascii="Times New Roman" w:hAnsi="Times New Roman" w:eastAsia="仿宋_GB2312" w:cs="Times New Roman"/>
          <w:b w:val="0"/>
          <w:bCs w:val="0"/>
          <w:sz w:val="32"/>
          <w:szCs w:val="32"/>
          <w:lang w:val="en-US" w:eastAsia="zh-CN"/>
        </w:rPr>
        <w:t>期货</w:t>
      </w:r>
      <w:r>
        <w:rPr>
          <w:rFonts w:hint="default" w:ascii="Times New Roman" w:hAnsi="Times New Roman" w:eastAsia="仿宋_GB2312" w:cs="Times New Roman"/>
          <w:b w:val="0"/>
          <w:bCs w:val="0"/>
          <w:sz w:val="32"/>
          <w:szCs w:val="32"/>
          <w:lang w:val="en-US" w:eastAsia="zh-CN"/>
        </w:rPr>
        <w:t>组合：卖出看涨期权同时买入对应期货合约的持仓头寸，或者卖出看跌期权，同时卖出对应期货合约的持仓头寸；</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期权跨式组合：卖出同一系列的相同执行价格的看涨期权和看跌期权的持仓头寸；</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期权宽跨式组合：卖出同一系列低执行价格的看跌期权和高执行价格的看涨期权的持仓头寸；</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期权对锁组合：同一期权合约数量相等、方向相反的持仓头寸；</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买入垂直价差组合：买进低执行价格的看涨期权，同时卖出相同期货合约的高执行价格的看涨期权的持仓头头寸，或者买进高执行价格的看跌期权，同时卖出相同期货合约的低执行价格的看跌期权的持仓头寸；</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卖出垂直价差组合：卖出低执行价格的看涨期权，同时买进相同期货合约的高执行价格的看涨期权，或者卖出高执行价格的看跌期权，同时买进相同期货合约的低执行价格的看跌期权</w:t>
      </w:r>
      <w:r>
        <w:rPr>
          <w:rFonts w:hint="eastAsia" w:ascii="Times New Roman" w:hAnsi="Times New Roman" w:eastAsia="仿宋_GB2312" w:cs="Times New Roman"/>
          <w:b w:val="0"/>
          <w:bCs w:val="0"/>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250" w:leftChars="0" w:firstLine="880" w:firstLine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组合策略保证金收取标准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同一客户在同一会员下的组合策略持仓按照以下标准收取交易保证金：</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期货对锁、期货跨期、期货跨品种：按照交易保证金单边较大者进行收取；</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卖出期权</w:t>
      </w:r>
      <w:r>
        <w:rPr>
          <w:rFonts w:hint="eastAsia" w:ascii="Times New Roman" w:hAnsi="Times New Roman" w:eastAsia="仿宋_GB2312" w:cs="Times New Roman"/>
          <w:b w:val="0"/>
          <w:bCs w:val="0"/>
          <w:sz w:val="32"/>
          <w:szCs w:val="32"/>
          <w:lang w:val="en-US" w:eastAsia="zh-CN"/>
        </w:rPr>
        <w:t>期货</w:t>
      </w:r>
      <w:r>
        <w:rPr>
          <w:rFonts w:hint="default" w:ascii="Times New Roman" w:hAnsi="Times New Roman" w:eastAsia="仿宋_GB2312" w:cs="Times New Roman"/>
          <w:b w:val="0"/>
          <w:bCs w:val="0"/>
          <w:sz w:val="32"/>
          <w:szCs w:val="32"/>
          <w:lang w:val="en-US" w:eastAsia="zh-CN"/>
        </w:rPr>
        <w:t>：期货保证金+期权权利金结算价*交易单位（合约乘数）；</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期权跨式、期权宽跨式：max</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看涨期权保证金，看跌期权保证金</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+另一方权利金结算价*交易单位（合约乘数）；</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期权对锁、买入垂直价差：按照卖期权保证金的一定比例收取；</w:t>
      </w:r>
    </w:p>
    <w:p>
      <w:pPr>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卖出垂直价差：min(执行价格之差*交易单位（合约乘数），空头期权保证金</w:t>
      </w:r>
      <w:r>
        <w:rPr>
          <w:rFonts w:hint="eastAsia" w:ascii="Times New Roman" w:hAnsi="Times New Roman" w:eastAsia="仿宋_GB2312" w:cs="Times New Roman"/>
          <w:b w:val="0"/>
          <w:bCs w:val="0"/>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250" w:leftChars="0" w:firstLine="880" w:firstLine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组合策略的构建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客户可以在盘中或者盘后通过以下方式构建组合策略：</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盘中套利交易指令下单：盘中使用套利交易指令构建的套利交易合约属于上述组合策略的，按照对应组合策略的保证金标准收取交易保证金；</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盘中组合申请：对于已持有的各合约单腿持仓，盘中可以按照交易所规定的组合策略类型发送组合申请，相关合约形成的组合策略持仓，按照对应组合策略的保证金标准收取交易保证金；</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盘后自动组合：结算时交易所根据各组合策略的优先级，对客户的持仓进行组合配对（盘中客户通过组合申请构建的组合策略不再保留），并按照对应组合策略的保证金标准收取交易保证金；</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保留盘中组合申请：客户需要保留盘中通过组合申请构建的组合策略的，可以通过会员向交易所提交申请，交易所审核通过之日结算时起，交易所仅保留该客户在该会员处盘中申请的组合，其余持仓均按照均按照单腿保证金标准收取交易保证金。客户可以通过会员取消上述申请。</w:t>
      </w:r>
    </w:p>
    <w:p>
      <w:pPr>
        <w:keepNext w:val="0"/>
        <w:keepLines w:val="0"/>
        <w:pageBreakBefore w:val="0"/>
        <w:numPr>
          <w:ilvl w:val="0"/>
          <w:numId w:val="1"/>
        </w:numPr>
        <w:kinsoku/>
        <w:wordWrap/>
        <w:overflowPunct/>
        <w:topLinePunct w:val="0"/>
        <w:autoSpaceDE/>
        <w:autoSpaceDN/>
        <w:bidi w:val="0"/>
        <w:adjustRightInd/>
        <w:snapToGrid/>
        <w:spacing w:line="560" w:lineRule="exact"/>
        <w:ind w:left="-250" w:leftChars="0" w:firstLine="880" w:firstLine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组合策略盘后自动组合的优先级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组合策略盘后自动组合的优先级按照以下顺序排列：</w:t>
      </w:r>
    </w:p>
    <w:p>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优先级</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组合策略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lang w:val="en-US" w:eastAsia="zh-CN"/>
              </w:rPr>
              <w:t>期货对锁组合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期货跨期组合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期货跨品种组合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卖出期权组合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5</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期权宽式组合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6</w:t>
            </w:r>
          </w:p>
        </w:tc>
        <w:tc>
          <w:tcPr>
            <w:tcW w:w="4450" w:type="dxa"/>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期权宽跨式组合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7</w:t>
            </w:r>
          </w:p>
        </w:tc>
        <w:tc>
          <w:tcPr>
            <w:tcW w:w="4450" w:type="dxa"/>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期权对锁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8</w:t>
            </w:r>
          </w:p>
        </w:tc>
        <w:tc>
          <w:tcPr>
            <w:tcW w:w="4450" w:type="dxa"/>
            <w:vAlign w:val="top"/>
          </w:tcPr>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买入垂直价差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9</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卖出垂直价差</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同一客户在同一会员下同时持有投机、套保持仓的，不同属性的持仓构建组合策略的优先级按照以下顺序排列：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优先级</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持仓属性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1</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投机-投机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2</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套保-套保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3</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套保-投机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4</w:t>
            </w:r>
          </w:p>
        </w:tc>
        <w:tc>
          <w:tcPr>
            <w:tcW w:w="445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z w:val="28"/>
                <w:szCs w:val="28"/>
                <w:vertAlign w:val="baseline"/>
                <w:lang w:val="en-US" w:eastAsia="zh-CN"/>
              </w:rPr>
              <w:t>投机-套保</w:t>
            </w:r>
          </w:p>
        </w:tc>
      </w:tr>
    </w:tbl>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上述排序原则在各组合策略的具体适用由交易所另行公布。</w:t>
      </w:r>
    </w:p>
    <w:p>
      <w:pPr>
        <w:keepNext w:val="0"/>
        <w:keepLines w:val="0"/>
        <w:pageBreakBefore w:val="0"/>
        <w:numPr>
          <w:ilvl w:val="0"/>
          <w:numId w:val="1"/>
        </w:numPr>
        <w:kinsoku/>
        <w:wordWrap/>
        <w:overflowPunct/>
        <w:topLinePunct w:val="0"/>
        <w:autoSpaceDE/>
        <w:autoSpaceDN/>
        <w:bidi w:val="0"/>
        <w:adjustRightInd/>
        <w:snapToGrid/>
        <w:spacing w:line="560" w:lineRule="exact"/>
        <w:ind w:left="-250" w:leftChars="0" w:firstLine="880" w:firstLine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组合策略的解锁</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客户可以在盘中针对已构建的某一组合策略发送解锁申请，解锁后相应的组合策略持仓头寸成为各合约的单腿持仓，并加收原组合策略已优惠的保证金。</w:t>
      </w:r>
    </w:p>
    <w:p>
      <w:pPr>
        <w:keepNext w:val="0"/>
        <w:keepLines w:val="0"/>
        <w:pageBreakBefore w:val="0"/>
        <w:numPr>
          <w:ilvl w:val="0"/>
          <w:numId w:val="1"/>
        </w:numPr>
        <w:kinsoku/>
        <w:wordWrap/>
        <w:overflowPunct/>
        <w:topLinePunct w:val="0"/>
        <w:autoSpaceDE/>
        <w:autoSpaceDN/>
        <w:bidi w:val="0"/>
        <w:adjustRightInd/>
        <w:snapToGrid/>
        <w:spacing w:line="560" w:lineRule="exact"/>
        <w:ind w:left="-250" w:leftChars="0" w:firstLine="880" w:firstLine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组合策略平仓顺序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客户持有组合策略持仓头寸的，盘中平仓时按照先平单腿持仓，后平组合策略持仓的原则释放保证金。组合策略持仓平仓时，按照组合策略的优先级从低到高的原则释放保证金。平仓盈亏的计算遵循先开先平原则。</w:t>
      </w:r>
    </w:p>
    <w:p>
      <w:pPr>
        <w:keepNext w:val="0"/>
        <w:keepLines w:val="0"/>
        <w:pageBreakBefore w:val="0"/>
        <w:numPr>
          <w:ilvl w:val="0"/>
          <w:numId w:val="1"/>
        </w:numPr>
        <w:kinsoku/>
        <w:wordWrap/>
        <w:overflowPunct/>
        <w:topLinePunct w:val="0"/>
        <w:autoSpaceDE/>
        <w:autoSpaceDN/>
        <w:bidi w:val="0"/>
        <w:adjustRightInd/>
        <w:snapToGrid/>
        <w:spacing w:line="560" w:lineRule="exact"/>
        <w:ind w:left="-250" w:leftChars="0" w:firstLine="880" w:firstLine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组合策略生效情况及相关参数查询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适用于组合策略的品种、合约、交易保证金标准计算参数等由交易所另行公布，交易所可以根据市场情况进行调整。会员、客户可以在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lang w:val="en-US" w:eastAsia="zh-CN"/>
        </w:rPr>
        <w:t>交易所官网-业务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服务-结算参数-组合持仓保证金参数”中查询。</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p>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组合策略一览表</w:t>
      </w:r>
    </w:p>
    <w:tbl>
      <w:tblPr>
        <w:tblStyle w:val="8"/>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1349"/>
        <w:gridCol w:w="3791"/>
        <w:gridCol w:w="322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31" w:hRule="atLeast"/>
          <w:jc w:val="center"/>
        </w:trPr>
        <w:tc>
          <w:tcPr>
            <w:tcW w:w="1349" w:type="dxa"/>
            <w:tcBorders>
              <w:top w:val="outset" w:color="000000" w:sz="6" w:space="0"/>
              <w:left w:val="outset" w:color="000000" w:sz="6" w:space="0"/>
              <w:bottom w:val="outset" w:color="000000" w:sz="6" w:space="0"/>
              <w:right w:val="outset" w:color="000000" w:sz="6" w:space="0"/>
            </w:tcBorders>
            <w:shd w:val="clear" w:color="auto" w:fill="DADADA" w:themeFill="accent3" w:themeFillTint="66"/>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组合策略</w:t>
            </w:r>
          </w:p>
        </w:tc>
        <w:tc>
          <w:tcPr>
            <w:tcW w:w="3791" w:type="dxa"/>
            <w:tcBorders>
              <w:top w:val="outset" w:color="000000" w:sz="6" w:space="0"/>
              <w:left w:val="outset" w:color="000000" w:sz="6" w:space="0"/>
              <w:bottom w:val="outset" w:color="000000" w:sz="6" w:space="0"/>
              <w:right w:val="outset" w:color="000000" w:sz="6" w:space="0"/>
            </w:tcBorders>
            <w:shd w:val="clear" w:color="auto" w:fill="DADADA" w:themeFill="accent3" w:themeFillTint="66"/>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组合说明</w:t>
            </w:r>
          </w:p>
        </w:tc>
        <w:tc>
          <w:tcPr>
            <w:tcW w:w="3226" w:type="dxa"/>
            <w:tcBorders>
              <w:top w:val="outset" w:color="000000" w:sz="6" w:space="0"/>
              <w:left w:val="outset" w:color="000000" w:sz="6" w:space="0"/>
              <w:bottom w:val="outset" w:color="000000" w:sz="6" w:space="0"/>
              <w:right w:val="outset" w:color="000000" w:sz="6" w:space="0"/>
            </w:tcBorders>
            <w:shd w:val="clear" w:color="auto" w:fill="DADADA" w:themeFill="accent3" w:themeFillTint="66"/>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保证金标准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794" w:hRule="atLeast"/>
          <w:jc w:val="center"/>
        </w:trPr>
        <w:tc>
          <w:tcPr>
            <w:tcW w:w="13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期货对锁</w:t>
            </w:r>
          </w:p>
        </w:tc>
        <w:tc>
          <w:tcPr>
            <w:tcW w:w="379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在同一期货品种同一月份合约上建立数量相等、方向相反的头寸</w:t>
            </w:r>
          </w:p>
        </w:tc>
        <w:tc>
          <w:tcPr>
            <w:tcW w:w="3226" w:type="dxa"/>
            <w:vMerge w:val="restart"/>
            <w:tcBorders>
              <w:top w:val="outset" w:color="000000" w:sz="6" w:space="0"/>
              <w:left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高腿保证金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794" w:hRule="atLeast"/>
          <w:jc w:val="center"/>
        </w:trPr>
        <w:tc>
          <w:tcPr>
            <w:tcW w:w="13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期货跨期</w:t>
            </w:r>
          </w:p>
        </w:tc>
        <w:tc>
          <w:tcPr>
            <w:tcW w:w="379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在同一期货品种的不同月份合约上建立数量相等、方向相反的头寸</w:t>
            </w:r>
          </w:p>
        </w:tc>
        <w:tc>
          <w:tcPr>
            <w:tcW w:w="3226" w:type="dxa"/>
            <w:vMerge w:val="continue"/>
            <w:tcBorders>
              <w:left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794" w:hRule="atLeast"/>
          <w:jc w:val="center"/>
        </w:trPr>
        <w:tc>
          <w:tcPr>
            <w:tcW w:w="13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期货跨品种</w:t>
            </w:r>
          </w:p>
        </w:tc>
        <w:tc>
          <w:tcPr>
            <w:tcW w:w="379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在不同期货品种合约上建立数量相等、方向相反的头寸</w:t>
            </w:r>
          </w:p>
        </w:tc>
        <w:tc>
          <w:tcPr>
            <w:tcW w:w="3226" w:type="dxa"/>
            <w:vMerge w:val="continue"/>
            <w:tcBorders>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850" w:hRule="atLeast"/>
          <w:jc w:val="center"/>
        </w:trPr>
        <w:tc>
          <w:tcPr>
            <w:tcW w:w="13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卖出期权</w:t>
            </w:r>
            <w:r>
              <w:rPr>
                <w:rFonts w:hint="eastAsia" w:ascii="Times New Roman" w:hAnsi="Times New Roman" w:eastAsia="宋体" w:cs="Times New Roman"/>
                <w:kern w:val="0"/>
                <w:sz w:val="21"/>
                <w:szCs w:val="21"/>
                <w:lang w:val="en-US" w:eastAsia="zh-CN" w:bidi="ar"/>
              </w:rPr>
              <w:t>期货</w:t>
            </w:r>
          </w:p>
        </w:tc>
        <w:tc>
          <w:tcPr>
            <w:tcW w:w="379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卖出看涨期权，同时买入对应期货合约；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卖出看跌期权，同时卖出对应期货合约</w:t>
            </w:r>
          </w:p>
        </w:tc>
        <w:tc>
          <w:tcPr>
            <w:tcW w:w="322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期货保证金+期权权利金结算价*交易单位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1134" w:hRule="atLeast"/>
          <w:jc w:val="center"/>
        </w:trPr>
        <w:tc>
          <w:tcPr>
            <w:tcW w:w="13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期权跨式</w:t>
            </w:r>
          </w:p>
        </w:tc>
        <w:tc>
          <w:tcPr>
            <w:tcW w:w="379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卖出同一系列的相同执行价格的看涨期权和看跌期权</w:t>
            </w:r>
          </w:p>
        </w:tc>
        <w:tc>
          <w:tcPr>
            <w:tcW w:w="3226" w:type="dxa"/>
            <w:vMerge w:val="restart"/>
            <w:tcBorders>
              <w:top w:val="outset" w:color="000000" w:sz="6" w:space="0"/>
              <w:left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max(看涨期权保证金，看跌期权保证金)+另一方权利金结算价*交易单位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注：若看涨期权、看跌期权的保证金相同，则取权利金市结算价较高者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1134" w:hRule="atLeast"/>
          <w:jc w:val="center"/>
        </w:trPr>
        <w:tc>
          <w:tcPr>
            <w:tcW w:w="13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期权宽跨式</w:t>
            </w:r>
          </w:p>
        </w:tc>
        <w:tc>
          <w:tcPr>
            <w:tcW w:w="379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卖出同一系列低执行价格的看跌期权和高执行价格的看涨期权</w:t>
            </w:r>
          </w:p>
        </w:tc>
        <w:tc>
          <w:tcPr>
            <w:tcW w:w="3226" w:type="dxa"/>
            <w:vMerge w:val="continue"/>
            <w:tcBorders>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cs="Times New Roman"/>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850" w:hRule="atLeast"/>
          <w:jc w:val="center"/>
        </w:trPr>
        <w:tc>
          <w:tcPr>
            <w:tcW w:w="13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期权对锁</w:t>
            </w:r>
          </w:p>
        </w:tc>
        <w:tc>
          <w:tcPr>
            <w:tcW w:w="379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在同一期权品种同一系列同一合约上建立数量相等、方向相反的头寸</w:t>
            </w:r>
          </w:p>
        </w:tc>
        <w:tc>
          <w:tcPr>
            <w:tcW w:w="322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X*卖期权保证金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23" w:hRule="atLeast"/>
          <w:jc w:val="center"/>
        </w:trPr>
        <w:tc>
          <w:tcPr>
            <w:tcW w:w="13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买入垂直价差</w:t>
            </w:r>
          </w:p>
        </w:tc>
        <w:tc>
          <w:tcPr>
            <w:tcW w:w="379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买进低执行价格的看涨期权，同时卖出相同期货合约的高执行价格的看涨期权；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买进高执行价格的看跌</w:t>
            </w:r>
            <w:bookmarkStart w:id="0" w:name="_GoBack"/>
            <w:bookmarkEnd w:id="0"/>
            <w:r>
              <w:rPr>
                <w:rFonts w:hint="default" w:ascii="Times New Roman" w:hAnsi="Times New Roman" w:eastAsia="宋体" w:cs="Times New Roman"/>
                <w:kern w:val="0"/>
                <w:sz w:val="21"/>
                <w:szCs w:val="21"/>
                <w:lang w:val="en-US" w:eastAsia="zh-CN" w:bidi="ar"/>
              </w:rPr>
              <w:t>期权，同时卖出相同期货合约的低执行价格的看跌期权</w:t>
            </w:r>
          </w:p>
        </w:tc>
        <w:tc>
          <w:tcPr>
            <w:tcW w:w="322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X*卖期权保证金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23" w:hRule="atLeast"/>
          <w:jc w:val="center"/>
        </w:trPr>
        <w:tc>
          <w:tcPr>
            <w:tcW w:w="134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卖出垂直价差</w:t>
            </w:r>
          </w:p>
        </w:tc>
        <w:tc>
          <w:tcPr>
            <w:tcW w:w="379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卖出低执行价格的看涨期权，同时买进相同期货合约的高执行价格的看涨期权；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卖出高执行价格的看跌期权，同时买进相同期货合约的低执行价格的看跌期权</w:t>
            </w:r>
          </w:p>
        </w:tc>
        <w:tc>
          <w:tcPr>
            <w:tcW w:w="322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min(执行价格之差*交易单位，空头期权保证金)</w:t>
            </w:r>
          </w:p>
        </w:tc>
      </w:tr>
    </w:tbl>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sectPr>
      <w:footerReference r:id="rId3" w:type="default"/>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7C183"/>
    <w:multiLevelType w:val="singleLevel"/>
    <w:tmpl w:val="A0C7C183"/>
    <w:lvl w:ilvl="0" w:tentative="0">
      <w:start w:val="1"/>
      <w:numFmt w:val="chineseCounting"/>
      <w:suff w:val="nothing"/>
      <w:lvlText w:val="（%1）"/>
      <w:lvlJc w:val="left"/>
      <w:pPr>
        <w:ind w:left="0" w:firstLine="420"/>
      </w:pPr>
      <w:rPr>
        <w:rFonts w:hint="eastAsia"/>
      </w:rPr>
    </w:lvl>
  </w:abstractNum>
  <w:abstractNum w:abstractNumId="1">
    <w:nsid w:val="D205F4FF"/>
    <w:multiLevelType w:val="singleLevel"/>
    <w:tmpl w:val="D205F4FF"/>
    <w:lvl w:ilvl="0" w:tentative="0">
      <w:start w:val="1"/>
      <w:numFmt w:val="chineseCounting"/>
      <w:suff w:val="nothing"/>
      <w:lvlText w:val="（%1）"/>
      <w:lvlJc w:val="left"/>
      <w:pPr>
        <w:ind w:left="0" w:firstLine="420"/>
      </w:pPr>
      <w:rPr>
        <w:rFonts w:hint="eastAsia"/>
      </w:rPr>
    </w:lvl>
  </w:abstractNum>
  <w:abstractNum w:abstractNumId="2">
    <w:nsid w:val="0DAF8503"/>
    <w:multiLevelType w:val="singleLevel"/>
    <w:tmpl w:val="0DAF8503"/>
    <w:lvl w:ilvl="0" w:tentative="0">
      <w:start w:val="1"/>
      <w:numFmt w:val="chineseCounting"/>
      <w:suff w:val="nothing"/>
      <w:lvlText w:val="%1、"/>
      <w:lvlJc w:val="left"/>
      <w:pPr>
        <w:ind w:left="-250"/>
      </w:pPr>
      <w:rPr>
        <w:rFonts w:hint="eastAsia"/>
      </w:rPr>
    </w:lvl>
  </w:abstractNum>
  <w:abstractNum w:abstractNumId="3">
    <w:nsid w:val="4036B818"/>
    <w:multiLevelType w:val="singleLevel"/>
    <w:tmpl w:val="4036B818"/>
    <w:lvl w:ilvl="0" w:tentative="0">
      <w:start w:val="1"/>
      <w:numFmt w:val="chineseCounting"/>
      <w:suff w:val="nothing"/>
      <w:lvlText w:val="（%1）"/>
      <w:lvlJc w:val="left"/>
      <w:pPr>
        <w:ind w:left="0" w:firstLine="420"/>
      </w:pPr>
      <w:rPr>
        <w:rFonts w:hint="eastAsia"/>
        <w:b w:val="0"/>
        <w:bCs w:val="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D4BF9"/>
    <w:rsid w:val="0A4624B5"/>
    <w:rsid w:val="200424A5"/>
    <w:rsid w:val="21456896"/>
    <w:rsid w:val="2223096E"/>
    <w:rsid w:val="238E6B99"/>
    <w:rsid w:val="24670819"/>
    <w:rsid w:val="2CCA7ADC"/>
    <w:rsid w:val="367894E2"/>
    <w:rsid w:val="3A232796"/>
    <w:rsid w:val="3DCF2F9E"/>
    <w:rsid w:val="3E0B62C2"/>
    <w:rsid w:val="42A742C9"/>
    <w:rsid w:val="42B01663"/>
    <w:rsid w:val="48393D24"/>
    <w:rsid w:val="486632C6"/>
    <w:rsid w:val="49C61AAB"/>
    <w:rsid w:val="4B284F0C"/>
    <w:rsid w:val="4E2951B0"/>
    <w:rsid w:val="4E332611"/>
    <w:rsid w:val="4E355039"/>
    <w:rsid w:val="4F1C6595"/>
    <w:rsid w:val="4FAE2C0E"/>
    <w:rsid w:val="4FCDC407"/>
    <w:rsid w:val="546C07A1"/>
    <w:rsid w:val="54E27B7E"/>
    <w:rsid w:val="57117457"/>
    <w:rsid w:val="579E5E58"/>
    <w:rsid w:val="58E604E4"/>
    <w:rsid w:val="5FFB655B"/>
    <w:rsid w:val="60453B1B"/>
    <w:rsid w:val="605C4ECE"/>
    <w:rsid w:val="661F7322"/>
    <w:rsid w:val="70796FF7"/>
    <w:rsid w:val="7A6778EF"/>
    <w:rsid w:val="7BD56510"/>
    <w:rsid w:val="7DCC10CE"/>
    <w:rsid w:val="7F753894"/>
    <w:rsid w:val="DFE75F7A"/>
    <w:rsid w:val="FF5F9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lock Text"/>
    <w:basedOn w:val="1"/>
    <w:unhideWhenUsed/>
    <w:qFormat/>
    <w:uiPriority w:val="99"/>
    <w:pPr>
      <w:spacing w:after="120"/>
      <w:ind w:left="1440" w:leftChars="700" w:right="700" w:rightChars="7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2147</Words>
  <Characters>2161</Characters>
  <Lines>0</Lines>
  <Paragraphs>0</Paragraphs>
  <TotalTime>11</TotalTime>
  <ScaleCrop>false</ScaleCrop>
  <LinksUpToDate>false</LinksUpToDate>
  <CharactersWithSpaces>2161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2022-06-07T23:17:00Z</dcterms:created>
  <dc:creator>Zengjian</dc:creator>
  <cp:lastModifiedBy>linwy</cp:lastModifiedBy>
  <dcterms:modified xsi:type="dcterms:W3CDTF">2022-12-16T14:48:49Z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3782DCCD76B34ED4BD015C12972D6C60</vt:lpwstr>
  </property>
</Properties>
</file>